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DA0F331"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AF64E3">
        <w:rPr>
          <w:bCs/>
          <w:noProof w:val="0"/>
          <w:sz w:val="24"/>
          <w:szCs w:val="24"/>
        </w:rPr>
        <w:t>1</w:t>
      </w:r>
      <w:r w:rsidR="007A2E93">
        <w:rPr>
          <w:bCs/>
          <w:noProof w:val="0"/>
          <w:sz w:val="24"/>
          <w:szCs w:val="24"/>
        </w:rPr>
        <w:t>5548</w:t>
      </w:r>
    </w:p>
    <w:p w14:paraId="231362B2" w14:textId="08C1CC3A"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FF41DC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74D82">
        <w:rPr>
          <w:rFonts w:cs="Arial"/>
          <w:b/>
          <w:bCs/>
          <w:sz w:val="24"/>
          <w:lang w:eastAsia="ja-JP"/>
        </w:rPr>
        <w:t>10.3.1.2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4321D7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4D82">
        <w:rPr>
          <w:rFonts w:ascii="Arial" w:hAnsi="Arial" w:cs="Arial"/>
          <w:b/>
          <w:bCs/>
          <w:sz w:val="24"/>
        </w:rPr>
        <w:t>Msg3 rebuilding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2F0BB76" w:rsidR="00CD4C7B" w:rsidRDefault="00C75023" w:rsidP="00CD4C7B">
      <w:r>
        <w:t xml:space="preserve">In the previous RAN2#103 meeting, the issue of different grant size received during the </w:t>
      </w:r>
      <w:proofErr w:type="gramStart"/>
      <w:r>
        <w:t>Random Access</w:t>
      </w:r>
      <w:proofErr w:type="gramEnd"/>
      <w:r>
        <w:t xml:space="preserve"> procedure for subsequent preamble transmissions were discussed. It was agreed the UE should rebuild the Msg3.</w:t>
      </w:r>
    </w:p>
    <w:p w14:paraId="057891A0" w14:textId="77777777" w:rsidR="00C75023" w:rsidRPr="00C75023" w:rsidRDefault="00C75023" w:rsidP="00C75023">
      <w:pPr>
        <w:pStyle w:val="BoldComments"/>
        <w:ind w:left="284"/>
        <w:rPr>
          <w:i/>
        </w:rPr>
      </w:pPr>
      <w:r w:rsidRPr="00C75023">
        <w:rPr>
          <w:i/>
        </w:rPr>
        <w:t xml:space="preserve">MSG3 and CBRA </w:t>
      </w:r>
      <w:r w:rsidRPr="00C75023">
        <w:rPr>
          <w:i/>
          <w:lang w:val="en-US"/>
        </w:rPr>
        <w:t xml:space="preserve">CFRA </w:t>
      </w:r>
      <w:r w:rsidRPr="00C75023">
        <w:rPr>
          <w:i/>
        </w:rPr>
        <w:t>switch</w:t>
      </w:r>
    </w:p>
    <w:p w14:paraId="7D775E45" w14:textId="77777777" w:rsidR="00C75023" w:rsidRPr="00C75023" w:rsidRDefault="00C75023" w:rsidP="00C75023">
      <w:pPr>
        <w:pStyle w:val="Doc-title"/>
        <w:ind w:left="1543"/>
        <w:rPr>
          <w:i/>
        </w:rPr>
      </w:pPr>
      <w:r w:rsidRPr="00C75023">
        <w:rPr>
          <w:i/>
        </w:rPr>
        <w:t>R2-1812784</w:t>
      </w:r>
      <w:r w:rsidRPr="00C75023">
        <w:rPr>
          <w:i/>
        </w:rPr>
        <w:tab/>
        <w:t>Handling of the Msg3 buffer for RA switching</w:t>
      </w:r>
      <w:r w:rsidRPr="00C75023">
        <w:rPr>
          <w:i/>
        </w:rPr>
        <w:tab/>
        <w:t>LG Electronics Inc.</w:t>
      </w:r>
      <w:r w:rsidRPr="00C75023">
        <w:rPr>
          <w:i/>
        </w:rPr>
        <w:tab/>
        <w:t>discussion</w:t>
      </w:r>
      <w:r w:rsidRPr="00C75023">
        <w:rPr>
          <w:i/>
        </w:rPr>
        <w:tab/>
        <w:t>Rel-15</w:t>
      </w:r>
      <w:r w:rsidRPr="00C75023">
        <w:rPr>
          <w:i/>
        </w:rPr>
        <w:tab/>
        <w:t>NR_newRAT-Core</w:t>
      </w:r>
    </w:p>
    <w:p w14:paraId="2C5CFDCE" w14:textId="22CDF948" w:rsidR="00C75023" w:rsidRDefault="00C75023" w:rsidP="00C75023">
      <w:pPr>
        <w:pStyle w:val="Agreement"/>
        <w:tabs>
          <w:tab w:val="clear" w:pos="1619"/>
          <w:tab w:val="num" w:pos="1903"/>
        </w:tabs>
        <w:ind w:left="1903"/>
        <w:rPr>
          <w:i/>
        </w:rPr>
      </w:pPr>
      <w:r w:rsidRPr="00C75023">
        <w:rPr>
          <w:i/>
        </w:rPr>
        <w:t>Noted</w:t>
      </w:r>
    </w:p>
    <w:p w14:paraId="52E104FD" w14:textId="2A4770BA" w:rsidR="00C75023" w:rsidRPr="00C75023" w:rsidRDefault="00C75023" w:rsidP="00C75023">
      <w:pPr>
        <w:pStyle w:val="Doc-text2"/>
      </w:pPr>
      <w:r>
        <w:t>(…)</w:t>
      </w:r>
    </w:p>
    <w:p w14:paraId="0681A20E" w14:textId="77777777" w:rsidR="00C75023" w:rsidRDefault="00C75023" w:rsidP="00C75023">
      <w:pPr>
        <w:pStyle w:val="Agreement"/>
        <w:tabs>
          <w:tab w:val="clear" w:pos="1619"/>
          <w:tab w:val="num" w:pos="1903"/>
        </w:tabs>
        <w:ind w:left="1903"/>
      </w:pPr>
      <w:r w:rsidRPr="00C75023">
        <w:rPr>
          <w:i/>
        </w:rPr>
        <w:t>Rebuild MSG3 (somehow, maybe w restriction)</w:t>
      </w:r>
    </w:p>
    <w:p w14:paraId="185489B1" w14:textId="7E330D76" w:rsidR="00C75023" w:rsidRDefault="00C75023" w:rsidP="00CD4C7B"/>
    <w:p w14:paraId="0798509F" w14:textId="2107E150" w:rsidR="00C75023" w:rsidRPr="006E13D1" w:rsidRDefault="00C75023" w:rsidP="00CD4C7B">
      <w:r>
        <w:t>In this contribution, we discuss how the rebuilding should be specified.</w:t>
      </w:r>
    </w:p>
    <w:p w14:paraId="127ACA6D" w14:textId="258B0DC6" w:rsidR="00CD4C7B" w:rsidRDefault="00CD4C7B" w:rsidP="00CD4C7B">
      <w:pPr>
        <w:pStyle w:val="Heading1"/>
      </w:pPr>
      <w:r w:rsidRPr="006E13D1">
        <w:t>2</w:t>
      </w:r>
      <w:r w:rsidRPr="006E13D1">
        <w:tab/>
      </w:r>
      <w:r w:rsidR="00C75023">
        <w:t>Discussion</w:t>
      </w:r>
    </w:p>
    <w:p w14:paraId="629C2B23" w14:textId="13806005" w:rsidR="00811BC9" w:rsidRPr="00811BC9" w:rsidRDefault="00811BC9" w:rsidP="00811BC9">
      <w:r>
        <w:t>It should be first noted that the issue arises if in case UL grant for Msg3 is of different size for subsequent CBRA preamble transmissions or in case the switching happens from CBRA to CFRA preamble transmission.</w:t>
      </w:r>
    </w:p>
    <w:p w14:paraId="7326E241" w14:textId="1561461C" w:rsidR="00FB597C" w:rsidRDefault="00FB597C" w:rsidP="00FB597C">
      <w:pPr>
        <w:pStyle w:val="Heading2"/>
      </w:pPr>
      <w:r>
        <w:t>2.1</w:t>
      </w:r>
      <w:r>
        <w:tab/>
        <w:t>Subsequent CBRA transmissions</w:t>
      </w:r>
    </w:p>
    <w:p w14:paraId="3F982C3D" w14:textId="69E78D5C" w:rsidR="00FB597C" w:rsidRDefault="00FB597C" w:rsidP="00FB597C">
      <w:r>
        <w:t xml:space="preserve">In LTE, the issue of different size of grants provided by the NW for Msg3 transmission was discussed. As such it was seen an unlikely scenario given that this happens only with CBRA, hence, the handling was not specified at all. The following note was added into </w:t>
      </w:r>
      <w:hyperlink r:id="rId12" w:history="1">
        <w:r w:rsidRPr="000F16D7">
          <w:rPr>
            <w:rStyle w:val="Hyperlink"/>
          </w:rPr>
          <w:t>TS 36.321</w:t>
        </w:r>
      </w:hyperlink>
      <w:r>
        <w:t>:</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FB597C" w14:paraId="50F100F5" w14:textId="77777777" w:rsidTr="009B37D6">
        <w:tc>
          <w:tcPr>
            <w:tcW w:w="9631" w:type="dxa"/>
            <w:shd w:val="clear" w:color="auto" w:fill="D9D9D9" w:themeFill="background1" w:themeFillShade="D9"/>
          </w:tcPr>
          <w:p w14:paraId="4BE5FB93" w14:textId="77777777" w:rsidR="00FB597C" w:rsidRPr="00CD462C" w:rsidRDefault="00FB597C" w:rsidP="009B37D6">
            <w:pPr>
              <w:keepLines/>
              <w:overflowPunct w:val="0"/>
              <w:autoSpaceDE w:val="0"/>
              <w:autoSpaceDN w:val="0"/>
              <w:adjustRightInd w:val="0"/>
              <w:ind w:left="1135" w:hanging="851"/>
              <w:textAlignment w:val="baseline"/>
              <w:rPr>
                <w:noProof/>
                <w:lang w:eastAsia="ja-JP"/>
              </w:rPr>
            </w:pPr>
            <w:r w:rsidRPr="000F16D7">
              <w:rPr>
                <w:noProof/>
                <w:lang w:eastAsia="ja-JP"/>
              </w:rPr>
              <w:t>NOTE:</w:t>
            </w:r>
            <w:r w:rsidRPr="000F16D7">
              <w:rPr>
                <w:noProof/>
                <w:lang w:eastAsia="ja-JP"/>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tc>
      </w:tr>
    </w:tbl>
    <w:p w14:paraId="48BE8694" w14:textId="77777777" w:rsidR="00FB597C" w:rsidRDefault="00FB597C" w:rsidP="00FB597C"/>
    <w:p w14:paraId="503DB1DC" w14:textId="53205916" w:rsidR="00FB597C" w:rsidRDefault="00FB597C" w:rsidP="00FB597C">
      <w:r>
        <w:t xml:space="preserve">We think that for subsequent CBRA preamble transmissions the same assumption still </w:t>
      </w:r>
      <w:proofErr w:type="gramStart"/>
      <w:r>
        <w:t>applies</w:t>
      </w:r>
      <w:proofErr w:type="gramEnd"/>
      <w:r>
        <w:t xml:space="preserve"> and </w:t>
      </w:r>
      <w:r w:rsidR="00811BC9">
        <w:t>no UE behaviour needs to be specified for this case at all – similar note to LTE could be applied.</w:t>
      </w:r>
    </w:p>
    <w:p w14:paraId="1B068F37" w14:textId="787116F8" w:rsidR="00811BC9" w:rsidRPr="00811BC9" w:rsidRDefault="00811BC9" w:rsidP="00FB597C">
      <w:pPr>
        <w:rPr>
          <w:b/>
        </w:rPr>
      </w:pPr>
      <w:r>
        <w:rPr>
          <w:b/>
        </w:rPr>
        <w:t>Proposal 1: For subsequent CBRA preamble transmissions, no UE behaviour needs to be specified for different grant size issue – similar note to LTE can be introduced.</w:t>
      </w:r>
    </w:p>
    <w:p w14:paraId="7A8B5B03" w14:textId="12EED842" w:rsidR="00811BC9" w:rsidRDefault="00811BC9" w:rsidP="00811BC9">
      <w:pPr>
        <w:pStyle w:val="Heading2"/>
      </w:pPr>
      <w:r>
        <w:t>2.</w:t>
      </w:r>
      <w:r w:rsidR="005123D2">
        <w:t>2</w:t>
      </w:r>
      <w:r>
        <w:tab/>
        <w:t>CBRA to CFRA switching for subsequent transmissions</w:t>
      </w:r>
    </w:p>
    <w:p w14:paraId="16704A8B" w14:textId="1BD2AEDC" w:rsidR="00C75023" w:rsidRDefault="005123D2" w:rsidP="00CD4C7B">
      <w:r>
        <w:t xml:space="preserve">CBRA to CFRA switching is the main problematic scenario: network does not know if the UE applied CBRA previously and whether it used Group A or Group B preambles (which would result to different size grant to be provided by the </w:t>
      </w:r>
      <w:r w:rsidR="00B34F05">
        <w:t>network). Hence, we think that the rebuilding behaviour can be solely focused on the case where CBRA preamble transmission follows a CFRA preamble transmission.</w:t>
      </w:r>
    </w:p>
    <w:p w14:paraId="7C8AEEE2" w14:textId="13445A22" w:rsidR="00B34F05" w:rsidRPr="00B34F05" w:rsidRDefault="00B34F05" w:rsidP="00CD4C7B">
      <w:pPr>
        <w:rPr>
          <w:b/>
        </w:rPr>
      </w:pPr>
      <w:r>
        <w:rPr>
          <w:b/>
        </w:rPr>
        <w:lastRenderedPageBreak/>
        <w:t>Proposal 2: The Msg3 rebuilding is specified only for the CBRA to CFRA switching case.</w:t>
      </w:r>
    </w:p>
    <w:p w14:paraId="2B336743" w14:textId="7782AE37" w:rsidR="00C75023" w:rsidRDefault="00B34F05" w:rsidP="00CD4C7B">
      <w:r>
        <w:t xml:space="preserve">Given the proposal 2, whenever the UL grant was gotten to transmit the MAC PDU from the Msg3 buffer in case CFRA preamble was transmitted, the </w:t>
      </w:r>
      <w:proofErr w:type="gramStart"/>
      <w:r>
        <w:t>Random Access</w:t>
      </w:r>
      <w:proofErr w:type="gramEnd"/>
      <w:r>
        <w:t xml:space="preserve"> procedure has been successfully completed given the RAR was received successfully. Thus, as obviously this considers only RRC_CONNECTED mode UE, there was a C-RNTI MAC CE multiplexed into the MAC PDU in Msg3 buffer given the CBRA preamble was transmitted previously. As the UE can be identified from the CFRA preamble, indicating the C-RNTI MAC CE is no more meaningful and could be discarded.</w:t>
      </w:r>
    </w:p>
    <w:p w14:paraId="6B627335" w14:textId="7EBD60A3" w:rsidR="00B34F05" w:rsidRPr="00B34F05" w:rsidRDefault="00B34F05" w:rsidP="00CD4C7B">
      <w:pPr>
        <w:rPr>
          <w:b/>
        </w:rPr>
      </w:pPr>
      <w:r>
        <w:rPr>
          <w:b/>
        </w:rPr>
        <w:t>Proposal 3: C-RNTI MAC CE can be discarded in case of rebuilding the MAC PDU in Msg3 buffer.</w:t>
      </w:r>
    </w:p>
    <w:p w14:paraId="52A29706" w14:textId="0C19E01D" w:rsidR="00B34F05" w:rsidRDefault="00B34F05" w:rsidP="00CD4C7B">
      <w:r>
        <w:t xml:space="preserve">Additionally, the MAC PDU in Msg3 buffer could </w:t>
      </w:r>
      <w:r w:rsidR="00684A74">
        <w:t>include BSR or PHR MAC CEs in case such were triggered or padding/truncates BSR in case there were not enough room for regular BSR or data. In case BSR or PHR MAC CE was included in such a MAC PDU, it makes sense to keep them and multiplex for subsequent transmission(s) as such information was triggered and the related triggers are already cancelled. However, including the truncated BSR for subsequent transmission(s) could unnecessarily delay the transmission of a Regular/Periodic BSR or PHR in case such was triggered but could not fit to an available UL resources previously. Furthermore, this would require NW to</w:t>
      </w:r>
      <w:r w:rsidR="0010335C">
        <w:t xml:space="preserve"> be able to</w:t>
      </w:r>
      <w:r w:rsidR="00684A74">
        <w:t xml:space="preserve"> decode different kind</w:t>
      </w:r>
      <w:r w:rsidR="0010335C">
        <w:t>s</w:t>
      </w:r>
      <w:r w:rsidR="00684A74">
        <w:t xml:space="preserve"> of special MAC PDUs, e.g., where there is both BSR MAC CE and truncated BSR MAC CE </w:t>
      </w:r>
      <w:r w:rsidR="0010335C">
        <w:t xml:space="preserve">in a MAC PDU </w:t>
      </w:r>
      <w:r w:rsidR="00684A74">
        <w:t xml:space="preserve">and </w:t>
      </w:r>
      <w:r w:rsidR="0010335C">
        <w:t xml:space="preserve">possibly even </w:t>
      </w:r>
      <w:r w:rsidR="00684A74">
        <w:t>padding after that.</w:t>
      </w:r>
    </w:p>
    <w:p w14:paraId="6F7CB9BA" w14:textId="57B76BB6" w:rsidR="00684A74" w:rsidRPr="00684A74" w:rsidRDefault="00684A74" w:rsidP="00CD4C7B">
      <w:pPr>
        <w:rPr>
          <w:b/>
        </w:rPr>
      </w:pPr>
      <w:r>
        <w:rPr>
          <w:b/>
        </w:rPr>
        <w:t>Proposal 4: Truncated BSR MAC CE can be discarded in case of rebuilding the MAC PDU in Msg3 buffer.</w:t>
      </w:r>
    </w:p>
    <w:p w14:paraId="0598B170" w14:textId="0F5BE1A9" w:rsidR="0010335C" w:rsidRDefault="0010335C" w:rsidP="00CD4C7B">
      <w:r>
        <w:t xml:space="preserve">What comes to the possible MAC SDUs handling that have been multiplexed into the MAC PDU in Msg3 buffer, it seems to be the cleanest approach to indicate failure in transmitting </w:t>
      </w:r>
      <w:proofErr w:type="gramStart"/>
      <w:r>
        <w:t>those MAC SDUs</w:t>
      </w:r>
      <w:proofErr w:type="gramEnd"/>
      <w:r>
        <w:t xml:space="preserve"> to upper layer (</w:t>
      </w:r>
      <w:proofErr w:type="spellStart"/>
      <w:r>
        <w:t>ie</w:t>
      </w:r>
      <w:proofErr w:type="spellEnd"/>
      <w:r>
        <w:t xml:space="preserve">., RLC) as proposed in [1]. There are couple of reasons to this: MAC does not have any buffer (other than the Msg3 buffer and HARQ buffers) and </w:t>
      </w:r>
      <w:proofErr w:type="gramStart"/>
      <w:r>
        <w:t>those MAC SDUs</w:t>
      </w:r>
      <w:proofErr w:type="gramEnd"/>
      <w:r>
        <w:t xml:space="preserve"> could not be re-segmented anymore if they could not fit to the new grant provided in response to the CFRA transmission. Transmission of these MAC SDUs would hence be delayed as well as some buffer should be specified for the MAC entity.</w:t>
      </w:r>
    </w:p>
    <w:p w14:paraId="52ECB795" w14:textId="3E4328E0" w:rsidR="0010335C" w:rsidRDefault="0010335C" w:rsidP="00CD4C7B">
      <w:r>
        <w:t>The indication to RLC could be handled like negative acknowledgements and hence apply only AM data (which covers the most crucial SRB data).</w:t>
      </w:r>
    </w:p>
    <w:p w14:paraId="3183F3E4" w14:textId="5BFEF059" w:rsidR="0010335C" w:rsidRDefault="0010335C" w:rsidP="00CD4C7B">
      <w:pPr>
        <w:rPr>
          <w:b/>
        </w:rPr>
      </w:pPr>
      <w:r>
        <w:rPr>
          <w:b/>
        </w:rPr>
        <w:t>Proposal 5: MAC indicates failure in transmitting the MAC SDUs to upper layer in case of rebuilding the MAC PDU in Msg3 buffer.</w:t>
      </w:r>
    </w:p>
    <w:p w14:paraId="5E5768A3" w14:textId="21D5F779" w:rsidR="00F4257F" w:rsidRDefault="00F4257F" w:rsidP="00CD4C7B">
      <w:r>
        <w:t xml:space="preserve">Finally, as the CFRA based BFR is responded to the UE’s C-RNTI, according to the current specification </w:t>
      </w:r>
      <w:r w:rsidR="00A322EA">
        <w:t xml:space="preserve">it is not clear whether </w:t>
      </w:r>
      <w:r>
        <w:t xml:space="preserve">the UE would </w:t>
      </w:r>
      <w:r w:rsidR="00A322EA">
        <w:t>e</w:t>
      </w:r>
      <w:r>
        <w:t xml:space="preserve">ver send the MAC PDU inside Msg3 buffer as that response </w:t>
      </w:r>
      <w:r w:rsidR="00A322EA">
        <w:t xml:space="preserve">may </w:t>
      </w:r>
      <w:r>
        <w:t>not</w:t>
      </w:r>
      <w:r w:rsidR="00A322EA">
        <w:t xml:space="preserve"> be</w:t>
      </w:r>
      <w:r>
        <w:t xml:space="preserve"> regarded to as “RAR”. The data would be lost as the Msg3 buffer is flushed when the next </w:t>
      </w:r>
      <w:proofErr w:type="gramStart"/>
      <w:r>
        <w:t>Random Access</w:t>
      </w:r>
      <w:proofErr w:type="gramEnd"/>
      <w:r>
        <w:t xml:space="preserve"> procedure is initiated. Hence, it seems reasonable to</w:t>
      </w:r>
      <w:r w:rsidR="00A322EA">
        <w:t xml:space="preserve"> clarify</w:t>
      </w:r>
      <w:r>
        <w:t xml:space="preserve"> </w:t>
      </w:r>
      <w:r w:rsidR="00A322EA">
        <w:t xml:space="preserve">that </w:t>
      </w:r>
      <w:r>
        <w:t xml:space="preserve">the response to CFRA based BFR addressed to C-RNTI also as </w:t>
      </w:r>
      <w:proofErr w:type="gramStart"/>
      <w:r>
        <w:t>Random Access</w:t>
      </w:r>
      <w:proofErr w:type="gramEnd"/>
      <w:r>
        <w:t xml:space="preserve"> Response.</w:t>
      </w:r>
    </w:p>
    <w:p w14:paraId="708045D7" w14:textId="3379FC7B" w:rsidR="00F4257F" w:rsidRDefault="00A322EA" w:rsidP="00F4257F">
      <w:pPr>
        <w:rPr>
          <w:b/>
        </w:rPr>
      </w:pPr>
      <w:r>
        <w:rPr>
          <w:b/>
        </w:rPr>
        <w:t>Proposal 6: Clarify that u</w:t>
      </w:r>
      <w:r w:rsidR="00F4257F">
        <w:rPr>
          <w:b/>
        </w:rPr>
        <w:t xml:space="preserve">plink grant addressed to C-RNTI in response to CFRA based BFR is considered as </w:t>
      </w:r>
      <w:proofErr w:type="gramStart"/>
      <w:r w:rsidR="00F4257F">
        <w:rPr>
          <w:b/>
        </w:rPr>
        <w:t>Random Access</w:t>
      </w:r>
      <w:proofErr w:type="gramEnd"/>
      <w:r w:rsidR="00F4257F">
        <w:rPr>
          <w:b/>
        </w:rPr>
        <w:t xml:space="preserve"> Response.</w:t>
      </w:r>
    </w:p>
    <w:p w14:paraId="43A12B72" w14:textId="4C3698A7" w:rsidR="00CD4C7B" w:rsidRPr="006E13D1" w:rsidRDefault="0010335C" w:rsidP="00CD4C7B">
      <w:pPr>
        <w:pStyle w:val="Heading1"/>
      </w:pPr>
      <w:r>
        <w:t>3</w:t>
      </w:r>
      <w:r w:rsidR="00CD4C7B" w:rsidRPr="006E13D1">
        <w:tab/>
      </w:r>
      <w:r>
        <w:t>Conclusions</w:t>
      </w:r>
    </w:p>
    <w:p w14:paraId="190C81D1" w14:textId="383DD02A" w:rsidR="00CD4C7B" w:rsidRDefault="0010335C" w:rsidP="00CD4C7B">
      <w:r>
        <w:t>In this contribution, the possible implementation of the Msg3 rebuilding was discussed and the following was proposed:</w:t>
      </w:r>
    </w:p>
    <w:p w14:paraId="7E95745E" w14:textId="77777777" w:rsidR="0010335C" w:rsidRPr="00811BC9" w:rsidRDefault="0010335C" w:rsidP="0010335C">
      <w:pPr>
        <w:rPr>
          <w:b/>
        </w:rPr>
      </w:pPr>
      <w:r>
        <w:rPr>
          <w:b/>
        </w:rPr>
        <w:t>Proposal 1: For subsequent CBRA preamble transmissions, no UE behaviour needs to be specified for different grant size issue – similar note to LTE can be introduced.</w:t>
      </w:r>
    </w:p>
    <w:p w14:paraId="469E418B" w14:textId="77777777" w:rsidR="0010335C" w:rsidRPr="00B34F05" w:rsidRDefault="0010335C" w:rsidP="0010335C">
      <w:pPr>
        <w:rPr>
          <w:b/>
        </w:rPr>
      </w:pPr>
      <w:r>
        <w:rPr>
          <w:b/>
        </w:rPr>
        <w:t>Proposal 2: The Msg3 rebuilding is specified only for the CBRA to CFRA switching case.</w:t>
      </w:r>
    </w:p>
    <w:p w14:paraId="40455407" w14:textId="77777777" w:rsidR="0010335C" w:rsidRPr="00B34F05" w:rsidRDefault="0010335C" w:rsidP="0010335C">
      <w:pPr>
        <w:rPr>
          <w:b/>
        </w:rPr>
      </w:pPr>
      <w:r>
        <w:rPr>
          <w:b/>
        </w:rPr>
        <w:t>Proposal 3: C-RNTI MAC CE can be discarded in case of rebuilding the MAC PDU in Msg3 buffer.</w:t>
      </w:r>
    </w:p>
    <w:p w14:paraId="3EB564EA" w14:textId="77777777" w:rsidR="0010335C" w:rsidRPr="00684A74" w:rsidRDefault="0010335C" w:rsidP="0010335C">
      <w:pPr>
        <w:rPr>
          <w:b/>
        </w:rPr>
      </w:pPr>
      <w:r>
        <w:rPr>
          <w:b/>
        </w:rPr>
        <w:t>Proposal 4: Truncated BSR MAC CE can be discarded in case of rebuilding the MAC PDU in Msg3 buffer.</w:t>
      </w:r>
    </w:p>
    <w:p w14:paraId="36679EC5" w14:textId="75F9408A" w:rsidR="0010335C" w:rsidRDefault="0010335C" w:rsidP="00CD4C7B">
      <w:pPr>
        <w:rPr>
          <w:b/>
        </w:rPr>
      </w:pPr>
      <w:r>
        <w:rPr>
          <w:b/>
        </w:rPr>
        <w:t>Proposal 5: MAC indicates failure in transmitting the MAC SDUs to upper layer in case of rebuilding the MAC PDU in Msg3 buffer.</w:t>
      </w:r>
    </w:p>
    <w:p w14:paraId="44DEB199" w14:textId="1DF41194" w:rsidR="00F4257F" w:rsidRDefault="00F4257F" w:rsidP="00F4257F">
      <w:pPr>
        <w:rPr>
          <w:b/>
        </w:rPr>
      </w:pPr>
      <w:r>
        <w:rPr>
          <w:b/>
        </w:rPr>
        <w:t xml:space="preserve">Proposal 6: </w:t>
      </w:r>
      <w:r w:rsidR="00CD0AE4">
        <w:rPr>
          <w:b/>
        </w:rPr>
        <w:t>Clarify that u</w:t>
      </w:r>
      <w:bookmarkStart w:id="0" w:name="_GoBack"/>
      <w:bookmarkEnd w:id="0"/>
      <w:r>
        <w:rPr>
          <w:b/>
        </w:rPr>
        <w:t>plink grant addressed to C-RNTI in response to CFRA based BFR is considered as Random Access Response.</w:t>
      </w:r>
    </w:p>
    <w:p w14:paraId="762DD60E" w14:textId="5E4B0351" w:rsidR="0010335C" w:rsidRPr="0010335C" w:rsidRDefault="0010335C" w:rsidP="00CD4C7B">
      <w:r>
        <w:t>The related CRs are provided in [2, 3]</w:t>
      </w:r>
    </w:p>
    <w:p w14:paraId="0FDCFAC2" w14:textId="77777777" w:rsidR="00CD4C7B" w:rsidRPr="006E13D1" w:rsidRDefault="00CD4C7B" w:rsidP="00CD4C7B">
      <w:pPr>
        <w:pStyle w:val="Heading1"/>
      </w:pPr>
      <w:r w:rsidRPr="006E13D1">
        <w:t>References</w:t>
      </w:r>
    </w:p>
    <w:p w14:paraId="5524F183" w14:textId="136E86C2" w:rsidR="00CD4C7B" w:rsidRDefault="0010335C" w:rsidP="00C60EFE">
      <w:pPr>
        <w:numPr>
          <w:ilvl w:val="0"/>
          <w:numId w:val="4"/>
        </w:numPr>
        <w:overflowPunct w:val="0"/>
        <w:autoSpaceDE w:val="0"/>
        <w:autoSpaceDN w:val="0"/>
        <w:adjustRightInd w:val="0"/>
        <w:textAlignment w:val="baseline"/>
      </w:pPr>
      <w:r w:rsidRPr="0010335C">
        <w:t>R2-1812206</w:t>
      </w:r>
      <w:r>
        <w:t xml:space="preserve">, </w:t>
      </w:r>
      <w:r w:rsidRPr="0010335C">
        <w:rPr>
          <w:i/>
        </w:rPr>
        <w:t>TB size mismatch when switching between CFRA and CBRA</w:t>
      </w:r>
      <w:r>
        <w:t xml:space="preserve"> </w:t>
      </w:r>
      <w:r w:rsidR="00127219">
        <w:t>–</w:t>
      </w:r>
      <w:r>
        <w:t xml:space="preserve"> </w:t>
      </w:r>
      <w:r w:rsidRPr="0010335C">
        <w:t>Lenovo, Motorola Mobility</w:t>
      </w:r>
    </w:p>
    <w:p w14:paraId="52FD0209" w14:textId="095DBF88" w:rsidR="0010335C" w:rsidRDefault="0010335C" w:rsidP="00C60EFE">
      <w:pPr>
        <w:numPr>
          <w:ilvl w:val="0"/>
          <w:numId w:val="4"/>
        </w:numPr>
        <w:overflowPunct w:val="0"/>
        <w:autoSpaceDE w:val="0"/>
        <w:autoSpaceDN w:val="0"/>
        <w:adjustRightInd w:val="0"/>
        <w:textAlignment w:val="baseline"/>
      </w:pPr>
      <w:r>
        <w:t>R2-18</w:t>
      </w:r>
      <w:r w:rsidR="00127219">
        <w:t>1</w:t>
      </w:r>
      <w:r w:rsidR="00E749AE">
        <w:t>4937</w:t>
      </w:r>
      <w:r w:rsidR="00127219">
        <w:t xml:space="preserve">, </w:t>
      </w:r>
      <w:r w:rsidR="00127219">
        <w:rPr>
          <w:i/>
        </w:rPr>
        <w:t>CR to 38.321 on Msg3 rebuilding</w:t>
      </w:r>
      <w:r w:rsidR="00127219">
        <w:t xml:space="preserve"> – Nokia, Nokia Shanghai Bell</w:t>
      </w:r>
    </w:p>
    <w:p w14:paraId="2B4C4CE1" w14:textId="4E2A3E29" w:rsidR="00127219" w:rsidRPr="006E13D1" w:rsidRDefault="00E749AE" w:rsidP="00127219">
      <w:pPr>
        <w:numPr>
          <w:ilvl w:val="0"/>
          <w:numId w:val="4"/>
        </w:numPr>
        <w:overflowPunct w:val="0"/>
        <w:autoSpaceDE w:val="0"/>
        <w:autoSpaceDN w:val="0"/>
        <w:adjustRightInd w:val="0"/>
        <w:textAlignment w:val="baseline"/>
      </w:pPr>
      <w:r>
        <w:t>R2-1814938</w:t>
      </w:r>
      <w:r w:rsidR="00127219">
        <w:t xml:space="preserve">, </w:t>
      </w:r>
      <w:r w:rsidR="00127219">
        <w:rPr>
          <w:i/>
        </w:rPr>
        <w:t>CR to 38.322 on Msg3 rebuilding</w:t>
      </w:r>
      <w:r w:rsidR="00127219">
        <w:t xml:space="preserve"> – Nokia, Nokia Shanghai Bell</w:t>
      </w:r>
    </w:p>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altName w:val="Arial"/>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0335C"/>
    <w:rsid w:val="00112F1A"/>
    <w:rsid w:val="00127219"/>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123D2"/>
    <w:rsid w:val="00534DA0"/>
    <w:rsid w:val="00543E6C"/>
    <w:rsid w:val="00565087"/>
    <w:rsid w:val="0056573F"/>
    <w:rsid w:val="00611566"/>
    <w:rsid w:val="0061799F"/>
    <w:rsid w:val="00646D99"/>
    <w:rsid w:val="00656910"/>
    <w:rsid w:val="00684A74"/>
    <w:rsid w:val="006C66D8"/>
    <w:rsid w:val="006D1E24"/>
    <w:rsid w:val="006E1417"/>
    <w:rsid w:val="006F6A2C"/>
    <w:rsid w:val="00710201"/>
    <w:rsid w:val="007342B5"/>
    <w:rsid w:val="00734A5B"/>
    <w:rsid w:val="00744E76"/>
    <w:rsid w:val="00757D40"/>
    <w:rsid w:val="00781F0F"/>
    <w:rsid w:val="0078727C"/>
    <w:rsid w:val="0079049D"/>
    <w:rsid w:val="00793DC5"/>
    <w:rsid w:val="007A2E93"/>
    <w:rsid w:val="007B18D8"/>
    <w:rsid w:val="007C095F"/>
    <w:rsid w:val="007C2DD0"/>
    <w:rsid w:val="008028A4"/>
    <w:rsid w:val="00811BC9"/>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322EA"/>
    <w:rsid w:val="00A53724"/>
    <w:rsid w:val="00A82346"/>
    <w:rsid w:val="00A9671C"/>
    <w:rsid w:val="00AA1553"/>
    <w:rsid w:val="00AF64E3"/>
    <w:rsid w:val="00B05962"/>
    <w:rsid w:val="00B15449"/>
    <w:rsid w:val="00B27303"/>
    <w:rsid w:val="00B34F05"/>
    <w:rsid w:val="00B47FD1"/>
    <w:rsid w:val="00B516BB"/>
    <w:rsid w:val="00B74D82"/>
    <w:rsid w:val="00BC3555"/>
    <w:rsid w:val="00C12B51"/>
    <w:rsid w:val="00C24650"/>
    <w:rsid w:val="00C33079"/>
    <w:rsid w:val="00C75023"/>
    <w:rsid w:val="00C83A13"/>
    <w:rsid w:val="00C9068C"/>
    <w:rsid w:val="00C92967"/>
    <w:rsid w:val="00CA3D0C"/>
    <w:rsid w:val="00CA654B"/>
    <w:rsid w:val="00CD0AE4"/>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49AE"/>
    <w:rsid w:val="00E77645"/>
    <w:rsid w:val="00E83697"/>
    <w:rsid w:val="00EC4A25"/>
    <w:rsid w:val="00F025A2"/>
    <w:rsid w:val="00F07388"/>
    <w:rsid w:val="00F2026E"/>
    <w:rsid w:val="00F2210A"/>
    <w:rsid w:val="00F37743"/>
    <w:rsid w:val="00F4257F"/>
    <w:rsid w:val="00F54A3D"/>
    <w:rsid w:val="00F54CB0"/>
    <w:rsid w:val="00F653B8"/>
    <w:rsid w:val="00F71B89"/>
    <w:rsid w:val="00F7353C"/>
    <w:rsid w:val="00F76F8F"/>
    <w:rsid w:val="00F941DF"/>
    <w:rsid w:val="00FA1266"/>
    <w:rsid w:val="00FB36FA"/>
    <w:rsid w:val="00FB597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itleChar">
    <w:name w:val="Doc-title Char"/>
    <w:link w:val="Doc-title"/>
    <w:locked/>
    <w:rsid w:val="00C75023"/>
    <w:rPr>
      <w:rFonts w:ascii="Arial" w:eastAsia="MS Mincho" w:hAnsi="Arial" w:cs="Arial"/>
      <w:noProof/>
      <w:szCs w:val="24"/>
    </w:rPr>
  </w:style>
  <w:style w:type="paragraph" w:customStyle="1" w:styleId="Doc-text2">
    <w:name w:val="Doc-text2"/>
    <w:basedOn w:val="Normal"/>
    <w:link w:val="Doc-text2Char"/>
    <w:qFormat/>
    <w:rsid w:val="00C75023"/>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Doc-text2"/>
    <w:link w:val="Doc-titleChar"/>
    <w:qFormat/>
    <w:rsid w:val="00C75023"/>
    <w:pPr>
      <w:spacing w:before="60" w:after="0"/>
      <w:ind w:left="1259" w:hanging="1259"/>
    </w:pPr>
    <w:rPr>
      <w:rFonts w:ascii="Arial" w:eastAsia="MS Mincho" w:hAnsi="Arial" w:cs="Arial"/>
      <w:noProof/>
      <w:szCs w:val="24"/>
      <w:lang w:eastAsia="en-GB"/>
    </w:rPr>
  </w:style>
  <w:style w:type="character" w:customStyle="1" w:styleId="Doc-text2Char">
    <w:name w:val="Doc-text2 Char"/>
    <w:link w:val="Doc-text2"/>
    <w:locked/>
    <w:rsid w:val="00C75023"/>
    <w:rPr>
      <w:rFonts w:ascii="Arial" w:eastAsia="MS Mincho" w:hAnsi="Arial"/>
      <w:szCs w:val="24"/>
    </w:rPr>
  </w:style>
  <w:style w:type="paragraph" w:customStyle="1" w:styleId="Agreement">
    <w:name w:val="Agreement"/>
    <w:basedOn w:val="Normal"/>
    <w:next w:val="Doc-text2"/>
    <w:rsid w:val="00C75023"/>
    <w:pPr>
      <w:numPr>
        <w:numId w:val="5"/>
      </w:numPr>
      <w:spacing w:before="60" w:after="0"/>
    </w:pPr>
    <w:rPr>
      <w:rFonts w:ascii="Arial" w:eastAsia="MS Mincho" w:hAnsi="Arial"/>
      <w:b/>
      <w:szCs w:val="24"/>
      <w:lang w:eastAsia="en-GB"/>
    </w:rPr>
  </w:style>
  <w:style w:type="character" w:customStyle="1" w:styleId="BoldCommentsChar">
    <w:name w:val="Bold Comments Char"/>
    <w:link w:val="BoldComments"/>
    <w:locked/>
    <w:rsid w:val="00C75023"/>
    <w:rPr>
      <w:rFonts w:ascii="Arial" w:eastAsia="MS Mincho" w:hAnsi="Arial" w:cs="Arial"/>
      <w:b/>
      <w:szCs w:val="24"/>
      <w:lang w:val="x-none" w:eastAsia="x-none"/>
    </w:rPr>
  </w:style>
  <w:style w:type="paragraph" w:customStyle="1" w:styleId="BoldComments">
    <w:name w:val="Bold Comments"/>
    <w:basedOn w:val="Normal"/>
    <w:link w:val="BoldCommentsChar"/>
    <w:qFormat/>
    <w:rsid w:val="00C75023"/>
    <w:pPr>
      <w:spacing w:before="240" w:after="60"/>
      <w:outlineLvl w:val="8"/>
    </w:pPr>
    <w:rPr>
      <w:rFonts w:ascii="Arial" w:eastAsia="MS Mincho" w:hAnsi="Arial" w:cs="Arial"/>
      <w:b/>
      <w:szCs w:val="24"/>
      <w:lang w:val="x-none" w:eastAsia="x-none"/>
    </w:rPr>
  </w:style>
  <w:style w:type="table" w:styleId="TableGrid">
    <w:name w:val="Table Grid"/>
    <w:basedOn w:val="TableNormal"/>
    <w:rsid w:val="00FB5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016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6_series/36.321/36321-f1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schemas.microsoft.com/office/2006/metadata/properties"/>
    <ds:schemaRef ds:uri="http://purl.org/dc/dcmitype/"/>
    <ds:schemaRef ds:uri="3b34c8f0-1ef5-4d1e-bb66-517ce7fe7356"/>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83f22d2f-d16e-4be6-ad4f-29fa0b067c3c"/>
    <ds:schemaRef ds:uri="a3840f4f-04be-43d1-b2ef-6ff1382503c7"/>
    <ds:schemaRef ds:uri="http://www.w3.org/XML/1998/namespace"/>
    <ds:schemaRef ds:uri="http://purl.org/dc/elements/1.1/"/>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3</Pages>
  <Words>1114</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12</cp:revision>
  <dcterms:created xsi:type="dcterms:W3CDTF">2018-09-27T10:54:00Z</dcterms:created>
  <dcterms:modified xsi:type="dcterms:W3CDTF">2018-09-28T07:19:00Z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